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177C4A">
      <w:pPr>
        <w:spacing w:line="480" w:lineRule="auto"/>
        <w:jc w:val="center"/>
        <w:rPr>
          <w:rFonts w:hint="default" w:ascii="Times New Roman" w:hAnsi="Times New Roman" w:cs="Times New Roman"/>
          <w:b/>
          <w:bCs/>
          <w:sz w:val="36"/>
          <w:szCs w:val="36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36"/>
          <w:szCs w:val="36"/>
        </w:rPr>
        <w:t>Tianjin Declaration of the 2026 Legislators Forum for</w:t>
      </w:r>
      <w:r>
        <w:rPr>
          <w:rFonts w:hint="default" w:ascii="Times New Roman" w:hAnsi="Times New Roman" w:cs="Times New Roman"/>
          <w:b/>
          <w:bCs/>
          <w:sz w:val="36"/>
          <w:szCs w:val="36"/>
          <w:lang w:val="en-US" w:eastAsia="zh-CN"/>
        </w:rPr>
        <w:t xml:space="preserve"> Friendly Exchanges</w:t>
      </w:r>
    </w:p>
    <w:p w14:paraId="552C6DCF">
      <w:pPr>
        <w:spacing w:line="480" w:lineRule="auto"/>
        <w:jc w:val="center"/>
        <w:rPr>
          <w:rFonts w:hint="default" w:ascii="Times New Roman" w:hAnsi="Times New Roman" w:cs="Times New Roman"/>
          <w:b/>
          <w:bCs/>
          <w:sz w:val="36"/>
          <w:szCs w:val="36"/>
          <w:lang w:val="en-US" w:eastAsia="zh-CN"/>
        </w:rPr>
      </w:pPr>
    </w:p>
    <w:p w14:paraId="189C9FDA">
      <w:pPr>
        <w:spacing w:line="480" w:lineRule="auto"/>
        <w:ind w:firstLine="420" w:firstLineChars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highlight w:val="none"/>
        </w:rPr>
        <w:t>The 2026 Legislators Forum for Friendly Exchanges was held in</w:t>
      </w:r>
      <w:r>
        <w:rPr>
          <w:rFonts w:hint="eastAsia" w:ascii="Times New Roman" w:hAnsi="Times New Roman" w:cs="Times New Roman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highlight w:val="none"/>
        </w:rPr>
        <w:t>Tianjin on October 13, 2026. Present at the forum were 66 legislators and</w:t>
      </w:r>
      <w:r>
        <w:rPr>
          <w:rFonts w:hint="eastAsia" w:ascii="Times New Roman" w:hAnsi="Times New Roman" w:cs="Times New Roman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highlight w:val="none"/>
        </w:rPr>
        <w:t>former legislators from 52 countries, regions, and inter</w:t>
      </w:r>
      <w:r>
        <w:rPr>
          <w:rFonts w:hint="eastAsia" w:ascii="Times New Roman" w:hAnsi="Times New Roman" w:cs="Times New Roman"/>
          <w:sz w:val="28"/>
          <w:szCs w:val="28"/>
          <w:highlight w:val="none"/>
          <w:lang w:val="en-US" w:eastAsia="zh-CN"/>
        </w:rPr>
        <w:t>n</w:t>
      </w:r>
      <w:r>
        <w:rPr>
          <w:rFonts w:hint="default" w:ascii="Times New Roman" w:hAnsi="Times New Roman" w:cs="Times New Roman"/>
          <w:sz w:val="28"/>
          <w:szCs w:val="28"/>
          <w:highlight w:val="none"/>
        </w:rPr>
        <w:t>ational</w:t>
      </w:r>
      <w:r>
        <w:rPr>
          <w:rFonts w:hint="eastAsia" w:ascii="Times New Roman" w:hAnsi="Times New Roman" w:cs="Times New Roman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highlight w:val="none"/>
        </w:rPr>
        <w:t>organizations across five continents, as well as 27 deputies to China</w:t>
      </w:r>
      <w:r>
        <w:rPr>
          <w:rFonts w:hint="default" w:ascii="Times New Roman" w:hAnsi="Times New Roman" w:cs="Times New Roman"/>
          <w:sz w:val="28"/>
          <w:szCs w:val="28"/>
          <w:highlight w:val="none"/>
          <w:lang w:val="en-US" w:eastAsia="zh-CN"/>
        </w:rPr>
        <w:t>’</w:t>
      </w:r>
      <w:r>
        <w:rPr>
          <w:rFonts w:hint="default" w:ascii="Times New Roman" w:hAnsi="Times New Roman" w:cs="Times New Roman"/>
          <w:sz w:val="28"/>
          <w:szCs w:val="28"/>
          <w:highlight w:val="none"/>
        </w:rPr>
        <w:t>s</w:t>
      </w:r>
      <w:r>
        <w:rPr>
          <w:rFonts w:hint="eastAsia" w:ascii="Times New Roman" w:hAnsi="Times New Roman" w:cs="Times New Roman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highlight w:val="none"/>
        </w:rPr>
        <w:t>National People</w:t>
      </w:r>
      <w:r>
        <w:rPr>
          <w:rFonts w:hint="default" w:ascii="Times New Roman" w:hAnsi="Times New Roman" w:cs="Times New Roman"/>
          <w:sz w:val="28"/>
          <w:szCs w:val="28"/>
          <w:highlight w:val="none"/>
          <w:lang w:val="en-US" w:eastAsia="zh-CN"/>
        </w:rPr>
        <w:t>’</w:t>
      </w:r>
      <w:r>
        <w:rPr>
          <w:rFonts w:hint="default" w:ascii="Times New Roman" w:hAnsi="Times New Roman" w:cs="Times New Roman"/>
          <w:sz w:val="28"/>
          <w:szCs w:val="28"/>
          <w:highlight w:val="none"/>
        </w:rPr>
        <w:t>s Co</w:t>
      </w:r>
      <w:r>
        <w:rPr>
          <w:rFonts w:hint="default" w:ascii="Times New Roman" w:hAnsi="Times New Roman" w:cs="Times New Roman"/>
          <w:sz w:val="28"/>
          <w:szCs w:val="28"/>
        </w:rPr>
        <w:t>ngress and people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’</w:t>
      </w:r>
      <w:r>
        <w:rPr>
          <w:rFonts w:hint="default" w:ascii="Times New Roman" w:hAnsi="Times New Roman" w:cs="Times New Roman"/>
          <w:sz w:val="28"/>
          <w:szCs w:val="28"/>
        </w:rPr>
        <w:t>s congresses at the subnational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level. H.E. Zhao Leji, Chairman of the Standing Committee of the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National People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’</w:t>
      </w:r>
      <w:r>
        <w:rPr>
          <w:rFonts w:hint="default" w:ascii="Times New Roman" w:hAnsi="Times New Roman" w:cs="Times New Roman"/>
          <w:sz w:val="28"/>
          <w:szCs w:val="28"/>
        </w:rPr>
        <w:t>s Congress of China, held a group meeting with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participants of the forum in Beijing. H.E. Peng Qinghua, Vice Chairman of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 Standing Committee of the National People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’</w:t>
      </w:r>
      <w:r>
        <w:rPr>
          <w:rFonts w:hint="default" w:ascii="Times New Roman" w:hAnsi="Times New Roman" w:cs="Times New Roman"/>
          <w:sz w:val="28"/>
          <w:szCs w:val="28"/>
        </w:rPr>
        <w:t>s Congress of China,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attended the forum and delivered a keynote speech.</w:t>
      </w:r>
    </w:p>
    <w:p w14:paraId="3C0E5ECA">
      <w:pPr>
        <w:spacing w:line="480" w:lineRule="auto"/>
        <w:ind w:firstLine="420" w:firstLineChars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The forum, themed 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“</w:t>
      </w:r>
      <w:r>
        <w:rPr>
          <w:rFonts w:hint="default" w:ascii="Times New Roman" w:hAnsi="Times New Roman" w:cs="Times New Roman"/>
          <w:sz w:val="28"/>
          <w:szCs w:val="28"/>
        </w:rPr>
        <w:t>Sharing High-Quality Growth for a Sustainable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Future,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”</w:t>
      </w:r>
      <w:r>
        <w:rPr>
          <w:rFonts w:hint="default" w:ascii="Times New Roman" w:hAnsi="Times New Roman" w:cs="Times New Roman"/>
          <w:sz w:val="28"/>
          <w:szCs w:val="28"/>
        </w:rPr>
        <w:t xml:space="preserve"> features discussions on topics such as grassroots governance and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social resilience, industry-education integration and new quality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productive forces, cultural inheritance and urban renewal, and green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development and regional coordination. 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“</w:t>
      </w:r>
      <w:r>
        <w:rPr>
          <w:rFonts w:hint="default" w:ascii="Times New Roman" w:hAnsi="Times New Roman" w:cs="Times New Roman"/>
          <w:sz w:val="28"/>
          <w:szCs w:val="28"/>
        </w:rPr>
        <w:t>Dialogue with European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Legislators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”</w:t>
      </w:r>
      <w:r>
        <w:rPr>
          <w:rFonts w:hint="default" w:ascii="Times New Roman" w:hAnsi="Times New Roman" w:cs="Times New Roman"/>
          <w:sz w:val="28"/>
          <w:szCs w:val="28"/>
        </w:rPr>
        <w:t xml:space="preserve"> and 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“</w:t>
      </w:r>
      <w:r>
        <w:rPr>
          <w:rFonts w:hint="default" w:ascii="Times New Roman" w:hAnsi="Times New Roman" w:cs="Times New Roman"/>
          <w:sz w:val="28"/>
          <w:szCs w:val="28"/>
        </w:rPr>
        <w:t>Global South Legislators Dialogue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”</w:t>
      </w:r>
      <w:r>
        <w:rPr>
          <w:rFonts w:hint="default" w:ascii="Times New Roman" w:hAnsi="Times New Roman" w:cs="Times New Roman"/>
          <w:sz w:val="28"/>
          <w:szCs w:val="28"/>
        </w:rPr>
        <w:t xml:space="preserve"> were also held at the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forum.</w:t>
      </w:r>
    </w:p>
    <w:p w14:paraId="1AC26079">
      <w:pPr>
        <w:spacing w:line="480" w:lineRule="auto"/>
        <w:ind w:firstLine="420" w:firstLineChars="0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/>
          <w:sz w:val="28"/>
          <w:szCs w:val="28"/>
        </w:rPr>
        <w:t>As the host of the forum, the Chinese side summarizes the main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 viewpoints of the participants as follows:</w:t>
      </w:r>
    </w:p>
    <w:p w14:paraId="086022BD">
      <w:pPr>
        <w:spacing w:line="480" w:lineRule="auto"/>
        <w:ind w:firstLine="420" w:firstLineChars="0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/>
          <w:sz w:val="28"/>
          <w:szCs w:val="28"/>
        </w:rPr>
        <w:t>1. The legislative bodies of all countries should deepen dialogue and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cooperation, pool the strength of public opinion, and translate the people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’</w:t>
      </w:r>
      <w:r>
        <w:rPr>
          <w:rFonts w:hint="default" w:ascii="Times New Roman" w:hAnsi="Times New Roman" w:cs="Times New Roman"/>
          <w:sz w:val="28"/>
          <w:szCs w:val="28"/>
        </w:rPr>
        <w:t>s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aspirations for a better life into concerted actions for world peace and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 xml:space="preserve"> development, thus making contributions to the economic and social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development of their respective countries and to world peace, stability, and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prosperity.</w:t>
      </w:r>
    </w:p>
    <w:p w14:paraId="4B067F97">
      <w:pPr>
        <w:spacing w:line="480" w:lineRule="auto"/>
        <w:ind w:firstLine="420" w:firstLineChars="0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2. The participants commend the Belt and Road Initiative and the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Global Development Initiative, the Global Security Initiative, the Global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Civilization Initiative, and the Global Governance Initiative proposed by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China.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The participants believe the above-mentioned four global initiatives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have contributed Chinese wisdom and strength to resolving global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development challenges, addressing international security challenges,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promoting exchanges and mutual lea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r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ning among civilizations, and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reforming and improving global governance. The participants call for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jointly practicing true multilateralism, opposing hegemonism and power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politics, and working together toward a community with a shared future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for humanity.</w:t>
      </w:r>
    </w:p>
    <w:p w14:paraId="689D61F6">
      <w:pPr>
        <w:spacing w:line="480" w:lineRule="auto"/>
        <w:ind w:firstLine="420" w:firstLineChars="0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3. The participants highly appreciate the strategic foresight and great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consistency demonstrated by China’s 15th Five-Year Plan for economic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and social development and speak highly of the development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achievements of the Chinese modernization. The participants support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China in continuing to expand high-standard opening up and in sharing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opportunities and pursuing common development with countries around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the world.</w:t>
      </w:r>
    </w:p>
    <w:p w14:paraId="0FCE1792">
      <w:pPr>
        <w:spacing w:line="480" w:lineRule="auto"/>
        <w:ind w:firstLine="420" w:firstLineChars="0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4. The participants fully recognize China’s efforts in promoting the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comprehensive green transition of economic and social development,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appreciate the practical experience of the Beijing-Tianjin-Hebei region in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coordinated regional environmental governance, and look forward to further strengthening strategy alignment, exchanges and cooperation on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green development to support the sustainable economic and social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development of various countries.</w:t>
      </w:r>
    </w:p>
    <w:p w14:paraId="2D280A69">
      <w:pPr>
        <w:spacing w:line="480" w:lineRule="auto"/>
        <w:ind w:firstLine="420" w:firstLineChars="0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5. The participants support countries in actively exploring social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governance models suited to their respective realities, advocate social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gove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r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nance aimed at improving people’s well-being and enhancing social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resilience, and encourage countries to strengthen exchanges of experience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in grassroots governance and jointly uphold democracy, the rule of law,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equity,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justice, security, and stability in society.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ab/>
      </w:r>
    </w:p>
    <w:p w14:paraId="3C898253">
      <w:pPr>
        <w:spacing w:line="480" w:lineRule="auto"/>
        <w:ind w:firstLine="420" w:firstLineChars="0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6. The participants believe the authority of U.N. General Assembly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Resolution 2758 must be upheld. There is but one China in the world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Taiwan is an inalienable part of China’s territory, and the Government of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the People’s Republic of China is the sole legal government representing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the whole of China.</w:t>
      </w:r>
    </w:p>
    <w:p w14:paraId="07BAA684">
      <w:pPr>
        <w:spacing w:line="480" w:lineRule="auto"/>
        <w:ind w:firstLine="420" w:firstLineChars="0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7. The participants fully recognize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Tianjin’s achievements in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economic and social development, and appreciate the wisdom and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experience demonstrated by Tianjin in invigorating grassroots governance,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fostering new quality productive forces, promoting innovation in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traditional culture, and advancing green development.</w:t>
      </w:r>
    </w:p>
    <w:p w14:paraId="49D9D8FC">
      <w:pPr>
        <w:spacing w:line="480" w:lineRule="auto"/>
        <w:ind w:firstLine="420" w:firstLineChars="0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8. The participants fully recognize the positive role the forum has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played since its inception in promoting exchanges between Chinese and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foreign legislative bodies, deepening mutual learning, enhancing the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well-being of the people, and jointly building a better world. The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participants express appreciation to the Chinese side for the warm hospitality accorded to them during the forum, and welcome the convening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of the next forum in China in 2027.</w:t>
      </w:r>
    </w:p>
    <w:p w14:paraId="49B4A999">
      <w:pPr>
        <w:spacing w:line="480" w:lineRule="auto"/>
        <w:rPr>
          <w:rFonts w:hint="default"/>
          <w:sz w:val="22"/>
          <w:szCs w:val="28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727FE2"/>
    <w:rsid w:val="04174CC4"/>
    <w:rsid w:val="20BD23A3"/>
    <w:rsid w:val="28B46C06"/>
    <w:rsid w:val="2E727FE2"/>
    <w:rsid w:val="6258405F"/>
    <w:rsid w:val="6DBF45D4"/>
    <w:rsid w:val="72DD084A"/>
    <w:rsid w:val="E6E75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uiPriority w:val="0"/>
    <w:pPr>
      <w:snapToGrid w:val="0"/>
      <w:spacing w:line="240" w:lineRule="auto"/>
      <w:ind w:left="321" w:hanging="321" w:hangingChars="100"/>
      <w:jc w:val="left"/>
    </w:pPr>
    <w:rPr>
      <w:rFonts w:ascii="Times New Roman" w:hAnsi="Times New Roman" w:eastAsia="Times New Roman"/>
      <w:sz w:val="18"/>
    </w:rPr>
  </w:style>
  <w:style w:type="character" w:styleId="5">
    <w:name w:val="annotation reference"/>
    <w:basedOn w:val="4"/>
    <w:uiPriority w:val="0"/>
    <w:rPr>
      <w:sz w:val="21"/>
    </w:rPr>
  </w:style>
  <w:style w:type="character" w:styleId="6">
    <w:name w:val="footnote reference"/>
    <w:basedOn w:val="5"/>
    <w:uiPriority w:val="0"/>
    <w:rPr>
      <w:rFonts w:ascii="Times New Roman" w:hAnsi="Times New Roman" w:eastAsia="宋体"/>
      <w:sz w:val="21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154</TotalTime>
  <ScaleCrop>false</ScaleCrop>
  <LinksUpToDate>false</LinksUpToDate>
  <CharactersWithSpaces>0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2026-10-13T17:45:00Z</dcterms:created>
  <dc:creator>润琪</dc:creator>
  <cp:lastModifiedBy>Haier</cp:lastModifiedBy>
  <cp:lastPrinted>2026-10-14T10:07:39Z</cp:lastPrinted>
  <dcterms:modified xsi:type="dcterms:W3CDTF">2026-10-14T10:18:36Z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7243D3196C0EE0AABBE3CE6A06ABA143_43</vt:lpwstr>
  </property>
  <property fmtid="{D5CDD505-2E9C-101B-9397-08002B2CF9AE}" pid="4" name="KSOTemplateDocerSaveRecord">
    <vt:lpwstr>eyJoZGlkIjoiOGUwMTRlMzQ4OTc3MWQ5ZjI5YTc2ZmEwNDAxNTAwYWMiLCJ1c2VySWQiOiIzNzIyMDYxNzcifQ==</vt:lpwstr>
  </property>
</Properties>
</file>