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Joint Statement of Outcomes of the China-New Zealand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Leaders'</w:t>
      </w:r>
      <w:r>
        <w:rPr>
          <w:rFonts w:hint="eastAsia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b/>
          <w:bCs/>
          <w:color w:val="000000"/>
          <w:sz w:val="32"/>
          <w:szCs w:val="32"/>
          <w:u w:val="none"/>
          <w:lang w:val="zh-CN"/>
        </w:rPr>
        <w:t>Meeting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At the invitation of H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.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Li Qiang, Premier of the State Council of the People's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Republic of China, Rt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on Christopher Luxon,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of New Zealand,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undertook an official visit to China from 17- 20 June 2025.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In Beijing on 20 June, H.E. Xi Jinping, President of the People's Republic of China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met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Christopher Luxon. Premier Li Qiang and 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Christopher Luxon held joint talks, one year after their last meeting in New Zealand.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Prime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Minister Christopher Luxon also called on H.E.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Zhao Leji, Chairman of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Standing Committee of the National People's Congress. The leaders of the two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countries exchanged views on China-New Zealand relations, as well as regional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international issues of common interest.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two sides reaffirmed the importance of the 1972 Joint Communique on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Establishment of Diplomatic Relations between China and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New Zealand. New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Zealand reaffirmed its commitment to its one-China Policy. Eleven years on from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establishment of a Comprehensive Strategic Partnership, both sides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acknowledged the breadth of the bilateral relationship. They undertook to deepen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cooperation in line with respective national positions, such as equality, fairness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,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mutual respect, and mutual benefit, while continuing to manage differences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build greater understanding in the bilateral relationship, including through regular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dialogue between leaders, ministers, and officials. Both sides recommitted to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regularly holding discussions on foreign affairs, trade and economics, agriculture,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consular issues, law enforcement, defence, the Pacific, and human rights.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4. Both sides welcomed ongoing cooperation in the areas of food safety, customs,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agriculture, forestry, climate change, trade and economic facilitation, business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environment improvement, and green economy. They welcomed progress made in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first round of the subsequent negotiations on trade in services of the China-New Zealand FTA. They reaffirmed the importance of people-to-people exchanges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to the bilateral relationship, including exchanges in tourism, culture, local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government, sport, science and innovation. In this context both sides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>welcomed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the recent convening of a China-New Zealand Mayoral Forum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upcoming Track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II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dialogue.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5. Both sides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>acknowledged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progress made in education cooperation, including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institutional partnerships, and welcomed recognition that New Zealand will be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Country of Honour at the 26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vertAlign w:val="superscript"/>
          <w:lang w:val="zh-CN"/>
        </w:rPr>
        <w:t>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vertAlign w:val="superscript"/>
          <w:lang w:val="en-US" w:eastAsia="zh-CN"/>
        </w:rPr>
        <w:t>h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China Annual Conference and Expo for International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Education. They also appreciated steps taken to grow tourism to respective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countries. New Zealand welcomed China's visa exemption policy for New Zealand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citizens. China welcomed New Zealand's recent announcement of amended visa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settings and operational changes to make visa applications easie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r.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China also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appreciated New Zealand's removal of transit visa requirements for Chinese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citizens.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6. China and New Zealand reaffirmed the importance of the United Nations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(UN)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Charter, and of the need for greater dialogue and consultation to address regional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global challenges.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The two sides reaffirmed the importance of the rules-based multilateral trading system with the WTO at it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core. They also acknowledged the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ir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joint commitment to working together in relevant multilateral and regional fora and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architecture, including the UN,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 xml:space="preserve">WTO,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APEC, EAS, RCEP, and ASEAN-centred fora.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New Zealand looks forward to a successful APEC 2026 and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supports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China's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host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en"/>
        </w:rPr>
        <w:t>ing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</w:pP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7.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New Zealand noted China's application to join the Comprehensive and Progressive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Trans-Pacific Part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n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ership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(CPTPP)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and reiterated that CPTPP remains open to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accession by economies that can satisfy the three Auckland Principles. New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Zealand noted the ongoing discussions in China's Digital Economy Partnership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>Agreement Acce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ssion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</w:t>
      </w:r>
      <w:r>
        <w:rPr>
          <w:rFonts w:hint="eastAsia" w:ascii="Times New Roman" w:hAnsi="Times New Roman" w:eastAsia="新宋体" w:cs="Times New Roman"/>
          <w:color w:val="000000"/>
          <w:sz w:val="32"/>
          <w:szCs w:val="32"/>
          <w:u w:val="none"/>
          <w:lang w:val="en-US" w:eastAsia="zh-CN"/>
        </w:rPr>
        <w:t>Working</w:t>
      </w:r>
      <w:r>
        <w:rPr>
          <w:rFonts w:hint="default" w:ascii="Times New Roman" w:hAnsi="Times New Roman" w:eastAsia="新宋体" w:cs="Times New Roman"/>
          <w:color w:val="000000"/>
          <w:sz w:val="32"/>
          <w:szCs w:val="32"/>
          <w:u w:val="none"/>
          <w:lang w:val="zh-CN"/>
        </w:rPr>
        <w:t xml:space="preserve"> Group.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3"/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00" w:afterLines="100" w:line="560" w:lineRule="exact"/>
        <w:ind w:right="139" w:righ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8.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Premier Li Qiang 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Prime Minister Christopher Luxon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welcomed progress on initiatives to strengthen cooperation in areas of shared interest, including: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60" w:lineRule="exact"/>
        <w:ind w:right="144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General Administration 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Customs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People’s Republic of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sz w:val="32"/>
          <w:szCs w:val="32"/>
          <w:u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New Zealand Customs Service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ingle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W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indow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ooperation in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ross-border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rade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Memorandum of Arrangement between the General Administration of Customs of the People’s Republic of China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 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Ministry for Primary Industries on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Q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uarantine and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V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eterinary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anitary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onditions of Deer Velvet and Deer Antler to be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E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xported from New Zealand to China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I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nspection,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Q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uarantine and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anitary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equirements for Wild Aquatic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P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roducts to be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E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xported from New Zealand to the People’s Republic of China between the General Administration of Customs of the People’s Republic of China and the 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 for Primary Industries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ind w:right="147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Export Plan for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resh Pomelo from the People’s Republic of China to New Zealand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t>b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etween the General Administration of Customs of the People’s Republic of China and the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 Ministry for Primary Industries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 Food Safety Capacity Building Cooperation Programme between the State Administration for Market Regulation of the People’s Republic of China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the New Zealand Ministry for Primary Industries  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5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he State Administration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for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 Market Regulation of the People’s Republic of China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and the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</w:t>
      </w:r>
      <w:r>
        <w:rPr>
          <w:rFonts w:hint="default" w:ascii="Times New Roman" w:hAnsi="Times New Roman" w:cs="Times New Roman"/>
          <w:sz w:val="32"/>
          <w:szCs w:val="32"/>
          <w:u w:val="none"/>
          <w:lang w:val="en"/>
        </w:rPr>
        <w:t xml:space="preserve"> for Primary Industries Cooperation on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Organic Products Certification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 Action Plan 2025-2026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for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ooperation in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M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easurement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ciences between the State Administration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for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 Market Regulation of the People's Republic of China and the Measurement Standards Laboratory of New Zealand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ind w:right="143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Arrangement between the General Administration of Customs of the People’s Republic of China and the New Zealand Customs Service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I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mproving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T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rade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E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>fficiency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  <w:lang w:val="en"/>
        </w:rPr>
        <w:t xml:space="preserve"> between Shanghai and Auckland Airport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8" w:line="560" w:lineRule="exact"/>
        <w:ind w:right="148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Government of the People’s Republic of China and the Government of New Zealand on Climate Change Cooperation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50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Strategic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C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ooperation Arrangement between China Media Group and Tourism New Zealand</w:t>
      </w:r>
    </w:p>
    <w:p>
      <w:pPr>
        <w:pStyle w:val="11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996"/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9" w:line="560" w:lineRule="exact"/>
        <w:ind w:right="147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sz w:val="32"/>
          <w:szCs w:val="32"/>
          <w:u w:val="none"/>
        </w:rPr>
        <w:t>Arrangement between the National Cultural Heritage Administration of the People’s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Republic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China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Ministry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for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Culture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Heritage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of New</w:t>
      </w:r>
      <w:r>
        <w:rPr>
          <w:rFonts w:hint="default" w:ascii="Times New Roman" w:hAnsi="Times New Roman" w:cs="Times New Roman"/>
          <w:spacing w:val="-2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 xml:space="preserve">Zealand on </w:t>
      </w: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>S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trengthening Exchanges and Cooperation in the Field of Cultural Heritage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3"/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00" w:afterLines="100" w:line="560" w:lineRule="exact"/>
        <w:ind w:right="141" w:rightChars="0" w:firstLine="0" w:firstLineChars="0"/>
        <w:jc w:val="both"/>
        <w:textAlignment w:val="auto"/>
        <w:rPr>
          <w:rFonts w:hint="default" w:ascii="Times New Roman" w:hAnsi="Times New Roman" w:cs="Times New Roman"/>
          <w:sz w:val="32"/>
          <w:szCs w:val="32"/>
          <w:u w:val="none"/>
        </w:rPr>
      </w:pPr>
      <w:r>
        <w:rPr>
          <w:rFonts w:hint="eastAsia" w:ascii="Times New Roman" w:hAnsi="Times New Roman" w:eastAsia="宋体" w:cs="Times New Roman"/>
          <w:sz w:val="32"/>
          <w:szCs w:val="32"/>
          <w:u w:val="none"/>
          <w:lang w:val="en-US" w:eastAsia="zh-CN"/>
        </w:rPr>
        <w:t xml:space="preserve">9.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Prime</w:t>
      </w:r>
      <w:r>
        <w:rPr>
          <w:rFonts w:hint="default" w:ascii="Times New Roman" w:hAnsi="Times New Roman" w:cs="Times New Roman"/>
          <w:spacing w:val="-1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Minister Christopher Luxon expressed appreciation to the government and people of the People’s Republic of China for their warm and friendly hospitality. China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appreciated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the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invitation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from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New Zealand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for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Chinese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leaders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to</w:t>
      </w:r>
      <w:r>
        <w:rPr>
          <w:rFonts w:hint="default" w:ascii="Times New Roman" w:hAnsi="Times New Roman" w:cs="Times New Roman"/>
          <w:spacing w:val="40"/>
          <w:sz w:val="32"/>
          <w:szCs w:val="32"/>
          <w:u w:val="none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none"/>
        </w:rPr>
        <w:t>visit New Zealand at a time of mutual convenience.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afterLines="100" w:line="560" w:lineRule="exact"/>
        <w:ind w:firstLine="0" w:firstLineChars="0"/>
        <w:jc w:val="both"/>
        <w:textAlignment w:val="auto"/>
        <w:rPr>
          <w:rFonts w:hint="default" w:ascii="Times New Roman" w:hAnsi="Times New Roman" w:eastAsia="新宋体" w:cs="Times New Roman"/>
          <w:color w:val="000000"/>
          <w:sz w:val="32"/>
          <w:szCs w:val="32"/>
          <w:lang w:val="zh-CN"/>
        </w:rPr>
      </w:pPr>
    </w:p>
    <w:sectPr>
      <w:footerReference r:id="rId3" w:type="default"/>
      <w:pgSz w:w="11906" w:h="16838"/>
      <w:pgMar w:top="801" w:right="1565" w:bottom="1295" w:left="1565" w:header="1134" w:footer="1134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6000009F" w:csb1="DFD7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Liberation Sans">
    <w:altName w:val="Segoe Print"/>
    <w:panose1 w:val="020B0604020202020204"/>
    <w:charset w:val="00"/>
    <w:family w:val="roman"/>
    <w:pitch w:val="default"/>
    <w:sig w:usb0="00000000" w:usb1="00000000" w:usb2="00000000" w:usb3="00000000" w:csb0="6000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B30"/>
    <w:multiLevelType w:val="multilevel"/>
    <w:tmpl w:val="0D022B30"/>
    <w:lvl w:ilvl="0" w:tentative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998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44" w:hanging="35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888" w:hanging="35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2" w:hanging="35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77" w:hanging="35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21" w:hanging="35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35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09" w:hanging="356"/>
      </w:pPr>
      <w:rPr>
        <w:rFonts w:hint="default"/>
        <w:lang w:val="en-US" w:eastAsia="en-US" w:bidi="ar-SA"/>
      </w:rPr>
    </w:lvl>
  </w:abstractNum>
  <w:abstractNum w:abstractNumId="1">
    <w:nsid w:val="0D510BF9"/>
    <w:multiLevelType w:val="singleLevel"/>
    <w:tmpl w:val="0D510B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62FB"/>
    <w:rsid w:val="1ED6C4EB"/>
    <w:rsid w:val="32DF50B0"/>
    <w:rsid w:val="3AEF3D5C"/>
    <w:rsid w:val="4B190AA2"/>
    <w:rsid w:val="4D0B5CDB"/>
    <w:rsid w:val="52086A76"/>
    <w:rsid w:val="57663BC2"/>
    <w:rsid w:val="5A482F49"/>
    <w:rsid w:val="5DFB7DDF"/>
    <w:rsid w:val="5E6FF5BE"/>
    <w:rsid w:val="6FE35AD3"/>
    <w:rsid w:val="78D96F97"/>
    <w:rsid w:val="7B75589F"/>
    <w:rsid w:val="7BF9CE86"/>
    <w:rsid w:val="7E33516E"/>
    <w:rsid w:val="7FFFDA2C"/>
    <w:rsid w:val="ACBF8F80"/>
    <w:rsid w:val="BDF7BF03"/>
    <w:rsid w:val="D4D7D928"/>
    <w:rsid w:val="DDF7C288"/>
    <w:rsid w:val="DFBDF4CC"/>
    <w:rsid w:val="EEEE0346"/>
    <w:rsid w:val="EF7C017D"/>
    <w:rsid w:val="F575E41D"/>
    <w:rsid w:val="F9EBEFB3"/>
    <w:rsid w:val="FBD71357"/>
    <w:rsid w:val="FEFA8314"/>
    <w:rsid w:val="FFAEF031"/>
    <w:rsid w:val="FFBFE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en-US" w:eastAsia="zh-CN" w:bidi="hi-IN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2"/>
    <w:qFormat/>
    <w:uiPriority w:val="0"/>
  </w:style>
  <w:style w:type="paragraph" w:customStyle="1" w:styleId="9">
    <w:name w:val="Heading"/>
    <w:basedOn w:val="1"/>
    <w:next w:val="2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</w:style>
  <w:style w:type="paragraph" w:styleId="11">
    <w:name w:val="List Paragraph"/>
    <w:basedOn w:val="1"/>
    <w:qFormat/>
    <w:uiPriority w:val="1"/>
    <w:pPr>
      <w:ind w:left="998" w:right="138" w:hanging="356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418</Words>
  <Characters>2568</Characters>
  <Paragraphs>7</Paragraphs>
  <TotalTime>23</TotalTime>
  <ScaleCrop>false</ScaleCrop>
  <LinksUpToDate>false</LinksUpToDate>
  <CharactersWithSpaces>2979</CharactersWithSpaces>
  <Application>WPS Office_10.8.2.6900_F1E327BC-269C-435d-A152-05C5408002CA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2025-06-13T13:55:00Z</dcterms:created>
  <dc:creator>易琴</dc:creator>
  <cp:lastModifiedBy>Administrator</cp:lastModifiedBy>
  <cp:lastPrinted>2025-06-17T02:53:00Z</cp:lastPrinted>
  <dcterms:modified xsi:type="dcterms:W3CDTF">2025-06-20T12:41:59Z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2052-10.8.2.6900</vt:lpwstr>
  </property>
</Properties>
</file>